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13" w:hAnchor="page" w:vAnchor="page" w:x="280" w:y="13388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financial accounting standards provided pursuant to Section 13(a) of the Exchange Act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.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14198" w:hAnchor="page" w:vAnchor="page" w:x="280" w:y="132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695" w:hAnchor="page" w:vAnchor="page" w:x="280" w:y="12892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6510" w:hAnchor="page" w:vAnchor="page" w:x="280" w:y="126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6027" w:hAnchor="page" w:vAnchor="page" w:x="3689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116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116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116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112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10071" w:hAnchor="page" w:vAnchor="page" w:x="280" w:y="10926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13e-4(c) under the Exchange Act (17 CFR 240.13e-4(c))</w:t>
      </w:r>
    </w:p>
    <w:p>
      <w:pPr>
        <w:pStyle w:val="Normal"/>
        <w:framePr w:w="10093" w:hAnchor="page" w:vAnchor="page" w:x="280" w:y="1047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14d-2(b) under the Exchange Act (17 CFR 240.14d-2(b))</w:t>
      </w:r>
    </w:p>
    <w:p>
      <w:pPr>
        <w:pStyle w:val="Normal"/>
        <w:framePr w:w="8173" w:hAnchor="page" w:vAnchor="page" w:x="280" w:y="1004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Soliciting material pursuant to Rule 14a-12 under the Exchange Act (17 CFR 240.14a-12)</w:t>
      </w:r>
    </w:p>
    <w:p>
      <w:pPr>
        <w:pStyle w:val="Normal"/>
        <w:framePr w:w="8147" w:hAnchor="page" w:vAnchor="page" w:x="280" w:y="960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Written communications pursuant to Rule 425 under the Securities Act (17 CFR 230.425)</w:t>
      </w:r>
    </w:p>
    <w:p>
      <w:pPr>
        <w:pStyle w:val="Normal"/>
        <w:framePr w:w="14128" w:hAnchor="page" w:vAnchor="page" w:x="280" w:y="91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5957" w:hAnchor="page" w:vAnchor="page" w:x="3718" w:y="87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5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921" w:hAnchor="page" w:vAnchor="page" w:x="5420" w:y="83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689" w:hAnchor="page" w:vAnchor="page" w:x="4246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1766" w:hAnchor="page" w:vAnchor="page" w:x="5464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+44 203-429-3950</w:t>
      </w:r>
    </w:p>
    <w:p>
      <w:pPr>
        <w:pStyle w:val="Normal"/>
        <w:framePr w:w="3475" w:hAnchor="page" w:vAnchor="page" w:x="781" w:y="72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1099" w:hAnchor="page" w:vAnchor="page" w:x="9698" w:y="72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2094" w:hAnchor="page" w:vAnchor="page" w:x="1377" w:y="70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214" w:hAnchor="page" w:vAnchor="page" w:x="9670" w:y="70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NE6 3PL</w:t>
      </w:r>
    </w:p>
    <w:p>
      <w:pPr>
        <w:pStyle w:val="Normal"/>
        <w:framePr w:w="2704" w:hAnchor="page" w:vAnchor="page" w:x="1122" w:y="676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Newcastle Upon Tyne</w:t>
      </w:r>
    </w:p>
    <w:p>
      <w:pPr>
        <w:pStyle w:val="Normal"/>
        <w:framePr w:w="2319" w:hAnchor="page" w:vAnchor="page" w:x="1283" w:y="64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Wincomblee Roa d</w:t>
      </w:r>
    </w:p>
    <w:p>
      <w:pPr>
        <w:pStyle w:val="Normal"/>
        <w:framePr w:w="2001" w:hAnchor="page" w:vAnchor="page" w:x="1415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Hadrian House,</w:t>
      </w:r>
    </w:p>
    <w:p>
      <w:pPr>
        <w:pStyle w:val="Normal"/>
        <w:framePr w:w="3820" w:hAnchor="page" w:vAnchor="page" w:x="630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2094" w:hAnchor="page" w:vAnchor="page" w:x="136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388" w:hAnchor="page" w:vAnchor="page" w:x="56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522" w:hAnchor="page" w:vAnchor="page" w:x="955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711" w:hAnchor="page" w:vAnchor="page" w:x="3840" w:y="539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3046" w:hAnchor="page" w:vAnchor="page" w:x="4896" w:y="5020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TechnipFMC plc</w:t>
      </w:r>
    </w:p>
    <w:p>
      <w:pPr>
        <w:pStyle w:val="Normal"/>
        <w:framePr w:w="5258" w:hAnchor="page" w:vAnchor="page" w:x="4029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 of Report (Date of earliest event reported)</w:t>
      </w:r>
    </w:p>
    <w:p>
      <w:pPr>
        <w:pStyle w:val="Normal"/>
        <w:framePr w:w="2162" w:hAnchor="page" w:vAnchor="page" w:x="5319" w:y="42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January 27, 2023</w:t>
      </w:r>
    </w:p>
    <w:p>
      <w:pPr>
        <w:pStyle w:val="Normal"/>
        <w:framePr w:w="8459" w:hAnchor="page" w:vAnchor="page" w:x="269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Pursuant to Section 13 OR 15(d) of The Securities Exchange Act of 1934</w:t>
      </w:r>
    </w:p>
    <w:p>
      <w:pPr>
        <w:pStyle w:val="Normal"/>
        <w:framePr w:w="3184" w:hAnchor="page" w:vAnchor="page" w:x="4813" w:y="3149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CURRENT REPORT</w:t>
      </w:r>
    </w:p>
    <w:p>
      <w:pPr>
        <w:pStyle w:val="Normal"/>
        <w:framePr w:w="2054" w:hAnchor="page" w:vAnchor="page" w:x="5346" w:y="24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FORM 8-K</w:t>
      </w:r>
    </w:p>
    <w:p>
      <w:pPr>
        <w:pStyle w:val="Normal"/>
        <w:framePr w:w="2953" w:hAnchor="page" w:vAnchor="page" w:x="4990" w:y="19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7827" w:hAnchor="page" w:vAnchor="page" w:x="2722" w:y="15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SECURITIES AND EXCHANGE COMMISSION</w:t>
      </w:r>
    </w:p>
    <w:p>
      <w:pPr>
        <w:pStyle w:val="Normal"/>
        <w:framePr w:w="3098" w:hAnchor="page" w:vAnchor="page" w:x="4872" w:y="1221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70.4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71.1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70.4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70.4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.75pt;margin-top:685.55pt;z-index:-16777092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88.6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.75pt;margin-top:685.55pt;z-index:-16777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9pt;margin-top:685.55pt;z-index:-16777080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75pt;margin-top:685.55pt;z-index:-16777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641" w:hAnchor="page" w:vAnchor="page" w:x="1036" w:y="888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104</w:t>
      </w:r>
    </w:p>
    <w:p>
      <w:pPr>
        <w:pStyle w:val="Normal"/>
        <w:framePr w:w="7273" w:hAnchor="page" w:vAnchor="page" w:x="2522" w:y="888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Inline XBRL for the cover page of this Current Report on Form 8-K</w:t>
      </w:r>
    </w:p>
    <w:p>
      <w:pPr>
        <w:pStyle w:val="Normal"/>
        <w:framePr w:w="707" w:hAnchor="page" w:vAnchor="page" w:x="1009" w:y="85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99.1</w:t>
      </w:r>
    </w:p>
    <w:p>
      <w:pPr>
        <w:pStyle w:val="Normal"/>
        <w:framePr w:w="7247" w:hAnchor="page" w:vAnchor="page" w:x="2522" w:y="85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News Release issued by TechnipFMC plc dated January 31, 2023</w:t>
      </w:r>
    </w:p>
    <w:p>
      <w:pPr>
        <w:pStyle w:val="Normal"/>
        <w:framePr w:w="1506" w:hAnchor="page" w:vAnchor="page" w:x="629" w:y="80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Exhibit No.</w:t>
      </w:r>
    </w:p>
    <w:p>
      <w:pPr>
        <w:pStyle w:val="Normal"/>
        <w:framePr w:w="1573" w:hAnchor="page" w:vAnchor="page" w:x="6461" w:y="80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Description</w:t>
      </w:r>
    </w:p>
    <w:p>
      <w:pPr>
        <w:pStyle w:val="Normal"/>
        <w:framePr w:w="5297" w:hAnchor="page" w:vAnchor="page" w:x="280" w:y="71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9.01 Financial Statements and Exhibits.</w:t>
      </w:r>
    </w:p>
    <w:p>
      <w:pPr>
        <w:pStyle w:val="Normal"/>
        <w:framePr w:w="801" w:hAnchor="page" w:vAnchor="page" w:x="280" w:y="637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filing.</w:t>
      </w:r>
    </w:p>
    <w:p>
      <w:pPr>
        <w:pStyle w:val="Normal"/>
        <w:framePr w:w="14256" w:hAnchor="page" w:vAnchor="page" w:x="280" w:y="616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Securities Act of 1933, as amended, or the Exchange Act, except as shall be expressly set forth by specific reference in such a</w:t>
      </w:r>
    </w:p>
    <w:p>
      <w:pPr>
        <w:pStyle w:val="Normal"/>
        <w:framePr w:w="14255" w:hAnchor="page" w:vAnchor="page" w:x="280" w:y="595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Section. The information in this Item 7.01, including Exhibit 99.1, shall not be deemed incorporated by reference into any filing under</w:t>
      </w:r>
    </w:p>
    <w:p>
      <w:pPr>
        <w:pStyle w:val="Normal"/>
        <w:framePr w:w="14253" w:hAnchor="page" w:vAnchor="page" w:x="280" w:y="57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Section 18 of the Securities Exchange Act of 1934, as amended (the “Exchange Act”), or otherwise subject to the liabilities of that</w:t>
      </w:r>
    </w:p>
    <w:p>
      <w:pPr>
        <w:pStyle w:val="Normal"/>
        <w:framePr w:w="14252" w:hAnchor="page" w:vAnchor="page" w:x="280" w:y="5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information set forth in this Item 7.01, including Exhibit 99.1, is being furnished and shall not be deemed “filed” for purposes of</w:t>
      </w:r>
    </w:p>
    <w:p>
      <w:pPr>
        <w:pStyle w:val="Normal"/>
        <w:framePr w:w="2856" w:hAnchor="page" w:vAnchor="page" w:x="280" w:y="503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herewith as Exhibit 99.1.</w:t>
      </w:r>
    </w:p>
    <w:p>
      <w:pPr>
        <w:pStyle w:val="Normal"/>
        <w:framePr w:w="14251" w:hAnchor="page" w:vAnchor="page" w:x="280" w:y="48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January 31, 2023, the Company issued a news release announcing Mr. Gwin’s election to the Board, a copy of which is filed</w:t>
      </w:r>
    </w:p>
    <w:p>
      <w:pPr>
        <w:pStyle w:val="Normal"/>
        <w:framePr w:w="4523" w:hAnchor="page" w:vAnchor="page" w:x="280" w:y="43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7.01    Regulation FD Disclosure.</w:t>
      </w:r>
    </w:p>
    <w:p>
      <w:pPr>
        <w:pStyle w:val="Normal"/>
        <w:framePr w:w="3750" w:hAnchor="page" w:vAnchor="page" w:x="280" w:y="38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general meeting of shareholders.</w:t>
      </w:r>
    </w:p>
    <w:p>
      <w:pPr>
        <w:pStyle w:val="Normal"/>
        <w:framePr w:w="14239" w:hAnchor="page" w:vAnchor="page" w:x="280" w:y="36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January 27, 2023, Peter Mellbye notified the Board of his decision not to stand for re-election at the Company’s next annual</w:t>
      </w:r>
    </w:p>
    <w:p>
      <w:pPr>
        <w:pStyle w:val="Normal"/>
        <w:framePr w:w="9293" w:hAnchor="page" w:vAnchor="page" w:x="280" w:y="31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accordance with the Company’s shareholder-approved Director Renumeration Policy.</w:t>
      </w:r>
    </w:p>
    <w:p>
      <w:pPr>
        <w:pStyle w:val="Normal"/>
        <w:framePr w:w="14255" w:hAnchor="page" w:vAnchor="page" w:x="280" w:y="29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Securities and Exchange Commission on March 18, 2022, prorated to reflect his length of service in 2023. Such compensation is in</w:t>
      </w:r>
    </w:p>
    <w:p>
      <w:pPr>
        <w:pStyle w:val="Normal"/>
        <w:framePr w:w="14244" w:hAnchor="page" w:vAnchor="page" w:x="280" w:y="27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directors as disclosed under the caption “Director Compensation” in the Company’s Definitive Proxy Statement filed with the U.S.</w:t>
      </w:r>
    </w:p>
    <w:p>
      <w:pPr>
        <w:pStyle w:val="Normal"/>
        <w:framePr w:w="14245" w:hAnchor="page" w:vAnchor="page" w:x="280" w:y="25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For  his  service,  Mr.  Gwin  will  receive  compensation  commensurate  with  that  received  by  the  Company’s  other  non-executive</w:t>
      </w:r>
    </w:p>
    <w:p>
      <w:pPr>
        <w:pStyle w:val="Normal"/>
        <w:framePr w:w="8675" w:hAnchor="page" w:vAnchor="page" w:x="280" w:y="20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2023, and is expected to appoint Mr. Gwin to the Audit Committee of the Board.</w:t>
      </w:r>
    </w:p>
    <w:p>
      <w:pPr>
        <w:pStyle w:val="Normal"/>
        <w:framePr w:w="14252" w:hAnchor="page" w:vAnchor="page" w:x="280" w:y="1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Directors (the “Board”) of TechnipFMC plc (the “Company”), the Board elected Robert G. Gwin to the Board, effective February 1,</w:t>
      </w:r>
    </w:p>
    <w:p>
      <w:pPr>
        <w:pStyle w:val="Normal"/>
        <w:framePr w:w="14249" w:hAnchor="page" w:vAnchor="page" w:x="280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 January  27,  2023,  upon  the  recommendation  of  the  Environmental,  Social,  and  Governance  Committee  of  the  Board  of</w:t>
      </w:r>
    </w:p>
    <w:p>
      <w:pPr>
        <w:pStyle w:val="Normal"/>
        <w:framePr w:w="5844" w:hAnchor="page" w:vAnchor="page" w:x="280" w:y="11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Compensatory Arrangements of Certain Officers.</w:t>
      </w:r>
    </w:p>
    <w:p>
      <w:pPr>
        <w:pStyle w:val="Normal"/>
        <w:framePr w:w="12621" w:hAnchor="page" w:vAnchor="page" w:x="280" w:y="8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5.02    Departure of Directors or Certain Officers; Election of Directors; Appointment of Certain Officers;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509.95pt;z-index:-16777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510.7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6.25pt;margin-top:509.95pt;z-index:-16777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509.9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4.1pt;margin-top:413.1pt;z-index:-16777052;width:45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413.1pt;z-index:-1677704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25.1pt;margin-top:438.6pt;z-index:-16777044;width:293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5.1pt;margin-top:438.6pt;z-index:-16777040;width:293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</w:p>
    <w:p>
      <w:pPr>
        <w:pStyle w:val="Normal"/>
        <w:framePr w:w="7202" w:hAnchor="page" w:vAnchor="page" w:x="4429" w:y="35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President, Chief Legal Officer, and Secretary</w:t>
      </w:r>
    </w:p>
    <w:p>
      <w:pPr>
        <w:pStyle w:val="Normal"/>
        <w:framePr w:w="947" w:hAnchor="page" w:vAnchor="page" w:x="300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2069" w:hAnchor="page" w:vAnchor="page" w:x="1141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February 1, 2023</w:t>
      </w:r>
    </w:p>
    <w:p>
      <w:pPr>
        <w:pStyle w:val="Normal"/>
        <w:framePr w:w="2478" w:hAnchor="page" w:vAnchor="page" w:x="4429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Victoria Lazar</w:t>
      </w:r>
    </w:p>
    <w:p>
      <w:pPr>
        <w:pStyle w:val="Normal"/>
        <w:framePr w:w="2437" w:hAnchor="page" w:vAnchor="page" w:x="4429" w:y="305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Victoria Lazar</w:t>
      </w:r>
    </w:p>
    <w:p>
      <w:pPr>
        <w:pStyle w:val="Normal"/>
        <w:framePr w:w="2076" w:hAnchor="page" w:vAnchor="page" w:x="4429" w:y="22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4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5471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pt;margin-top:1pt;z-index:-167770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219.45pt;margin-top:163.9pt;z-index:-16777032;width:37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</w:p>
    <w:p>
      <w:pPr>
        <w:pStyle w:val="Normal"/>
        <w:framePr w:w="1556" w:hAnchor="page" w:vAnchor="page" w:x="4281" w:y="1407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80808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808080"/>
          <w:w w:val="100"/>
          <w:sz w:val="14"/>
          <w:szCs w:val="14"/>
        </w:rPr>
        <w:t>TechnipFMC.com</w:t>
      </w:r>
    </w:p>
    <w:p>
      <w:pPr>
        <w:pStyle w:val="Normal"/>
        <w:framePr w:w="1055" w:hAnchor="page" w:vAnchor="page" w:x="11018" w:y="1407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80808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808080"/>
          <w:w w:val="100"/>
          <w:sz w:val="14"/>
          <w:szCs w:val="14"/>
        </w:rPr>
        <w:t>Page 1 of 2</w:t>
      </w:r>
    </w:p>
    <w:p>
      <w:pPr>
        <w:pStyle w:val="Normal"/>
        <w:framePr w:w="2098" w:hAnchor="page" w:vAnchor="page" w:x="280" w:y="104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CFA Institute.</w:t>
      </w:r>
    </w:p>
    <w:p>
      <w:pPr>
        <w:pStyle w:val="Normal"/>
        <w:framePr w:w="13074" w:hAnchor="page" w:vAnchor="page" w:x="280" w:y="1021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Fuqua School of Business at Duke University. He also earned the Chartered Financial Analyst (CFA) designation from</w:t>
      </w:r>
    </w:p>
    <w:p>
      <w:pPr>
        <w:pStyle w:val="Normal"/>
        <w:framePr w:w="13087" w:hAnchor="page" w:vAnchor="page" w:x="280" w:y="99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Science degree from the University of Southern California and a Master of Business Administration degree from the</w:t>
      </w:r>
    </w:p>
    <w:p>
      <w:pPr>
        <w:pStyle w:val="Normal"/>
        <w:framePr w:w="13085" w:hAnchor="page" w:vAnchor="page" w:x="280" w:y="976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from  2007  to  2019,  including  serving  as  the  Chairman  of  both  entities  from  2009  to  2018.  He  holds  a  Bachelor  of</w:t>
      </w:r>
    </w:p>
    <w:p>
      <w:pPr>
        <w:pStyle w:val="Normal"/>
        <w:framePr w:w="13083" w:hAnchor="page" w:vAnchor="page" w:x="280" w:y="95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previously was a director of both Western Gas Partners, LP, and its general partner Western Gas Equity Partners, LP</w:t>
      </w:r>
    </w:p>
    <w:p>
      <w:pPr>
        <w:pStyle w:val="Normal"/>
        <w:framePr w:w="13077" w:hAnchor="page" w:vAnchor="page" w:x="280" w:y="93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as a director of Enable Midstream Partners, LP from 2020 through 2021, including serving as its Chairman. He also</w:t>
      </w:r>
    </w:p>
    <w:p>
      <w:pPr>
        <w:pStyle w:val="Normal"/>
        <w:framePr w:w="13087" w:hAnchor="page" w:vAnchor="page" w:x="280" w:y="91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 of LyondellBasell Industries N.V. from 2011 to 2018, including serving as its Chairman from 2013 to 2018, and</w:t>
      </w:r>
    </w:p>
    <w:p>
      <w:pPr>
        <w:pStyle w:val="Normal"/>
        <w:framePr w:w="13087" w:hAnchor="page" w:vAnchor="page" w:x="280" w:y="88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Gwin is currently a director of Pembina Pipeline Corporation and Crescent Energy Company. He previously served as a</w:t>
      </w:r>
    </w:p>
    <w:p>
      <w:pPr>
        <w:pStyle w:val="Normal"/>
        <w:framePr w:w="13081" w:hAnchor="page" w:vAnchor="page" w:x="280" w:y="866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2019. He served as Executive Vice President, Finance and Chief Financial Officer of Anadarko from 2009 to 2018. Mr.</w:t>
      </w:r>
    </w:p>
    <w:p>
      <w:pPr>
        <w:pStyle w:val="Normal"/>
        <w:framePr w:w="13089" w:hAnchor="page" w:vAnchor="page" w:x="280" w:y="84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natural gas exploration and production companies, until its acquisition by Occidental Petroleum Corporation in August</w:t>
      </w:r>
    </w:p>
    <w:p>
      <w:pPr>
        <w:pStyle w:val="Normal"/>
        <w:framePr w:w="13086" w:hAnchor="page" w:vAnchor="page" w:x="280" w:y="82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Mr. Gwin was President of Anadarko Petroleum Corporation (“Anadarko”), one of the world’s largest independent oil and</w:t>
      </w:r>
    </w:p>
    <w:p>
      <w:pPr>
        <w:pStyle w:val="Normal"/>
        <w:framePr w:w="2770" w:hAnchor="page" w:vAnchor="page" w:x="280" w:y="781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About Robert G. Gwin</w:t>
      </w:r>
    </w:p>
    <w:p>
      <w:pPr>
        <w:pStyle w:val="Normal"/>
        <w:framePr w:w="3403" w:hAnchor="page" w:vAnchor="page" w:x="280" w:y="73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complements its capabilities.”</w:t>
      </w:r>
    </w:p>
    <w:p>
      <w:pPr>
        <w:pStyle w:val="Normal"/>
        <w:framePr w:w="13088" w:hAnchor="page" w:vAnchor="page" w:x="280" w:y="71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strategic thinking and financial acumen to our Board. Bob brings a skillset that strengthens our Board of Directors and</w:t>
      </w:r>
    </w:p>
    <w:p>
      <w:pPr>
        <w:pStyle w:val="Normal"/>
        <w:framePr w:w="13089" w:hAnchor="page" w:vAnchor="page" w:x="280" w:y="69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company.  He  has  spent  over  30  years  working  in  numerous  areas  of  finance  and  operations  and  brings  extensive</w:t>
      </w:r>
    </w:p>
    <w:p>
      <w:pPr>
        <w:pStyle w:val="Normal"/>
        <w:framePr w:w="13079" w:hAnchor="page" w:vAnchor="page" w:x="280" w:y="67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He  is  a  proven  board  member  and  global  business  leader,  who  has  tremendous  knowledge  of  our  industry  and</w:t>
      </w:r>
    </w:p>
    <w:p>
      <w:pPr>
        <w:pStyle w:val="Normal"/>
        <w:framePr w:w="13086" w:hAnchor="page" w:vAnchor="page" w:x="280" w:y="65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company and wish him well in his retirement.” Mr. Pferdehirt continued, “I am delighted to welcome Bob to the Board.</w:t>
      </w:r>
    </w:p>
    <w:p>
      <w:pPr>
        <w:pStyle w:val="Normal"/>
        <w:framePr w:w="13085" w:hAnchor="page" w:vAnchor="page" w:x="280" w:y="62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tremendous leader, partner and contributor. We have greatly benefitted from his leadership during the evolution of our</w:t>
      </w:r>
    </w:p>
    <w:p>
      <w:pPr>
        <w:pStyle w:val="Normal"/>
        <w:framePr w:w="13083" w:hAnchor="page" w:vAnchor="page" w:x="280" w:y="60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Doug  Pferdehirt,  Chair  and   CEO  of  TechnipFMC,  stated:  “Since  joining   the  Board  in  2013,  Peter  has   been  a</w:t>
      </w:r>
    </w:p>
    <w:p>
      <w:pPr>
        <w:pStyle w:val="Normal"/>
        <w:framePr w:w="7516" w:hAnchor="page" w:vAnchor="page" w:x="280" w:y="565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stand for re-election at the Company’s next annual general meeting.</w:t>
      </w:r>
    </w:p>
    <w:p>
      <w:pPr>
        <w:pStyle w:val="Normal"/>
        <w:framePr w:w="13078" w:hAnchor="page" w:vAnchor="page" w:x="280" w:y="54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effective February 1, 2023. The Company also announced that Peter Mellbye will retire from the Board and will not</w:t>
      </w:r>
    </w:p>
    <w:p>
      <w:pPr>
        <w:pStyle w:val="Normal"/>
        <w:framePr w:w="13078" w:hAnchor="page" w:vAnchor="page" w:x="280" w:y="52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Robert G. Gwin, former President of Anadarko Petroleum Corporation, has been appointed to its Board of Directors,</w:t>
      </w:r>
    </w:p>
    <w:p>
      <w:pPr>
        <w:pStyle w:val="Normal"/>
        <w:framePr w:w="13078" w:hAnchor="page" w:vAnchor="page" w:x="280" w:y="49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NEWCASTLE &amp; HOUSTON, January 31, 2023   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– TechnipFMC (NYSE: FTI) (the “Company”) today announced that</w:t>
      </w:r>
    </w:p>
    <w:p>
      <w:pPr>
        <w:pStyle w:val="Normal"/>
        <w:framePr w:w="10100" w:hAnchor="page" w:vAnchor="page" w:x="280" w:y="4254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32"/>
          <w:szCs w:val="32"/>
        </w:rPr>
      </w:pPr>
      <w:r>
        <w:rPr>
          <w:rFonts w:ascii="ArialMT" w:hAnsi="ArialMT" w:fareast="ArialMT" w:cs="ArialMT"/>
          <w:color w:val="000000"/>
          <w:w w:val="100"/>
          <w:sz w:val="32"/>
          <w:szCs w:val="32"/>
        </w:rPr>
        <w:t>TechnipFMC Appoints Robert G. Gwin to its Board of Directors</w:t>
      </w:r>
    </w:p>
    <w:p>
      <w:pPr>
        <w:pStyle w:val="Normal"/>
        <w:framePr w:w="2642" w:hAnchor="page" w:vAnchor="page" w:x="280" w:y="3458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a6a6a6"/>
          <w:w w:val="100"/>
          <w:sz w:val="32"/>
          <w:szCs w:val="32"/>
        </w:rPr>
      </w:pPr>
      <w:r>
        <w:rPr>
          <w:rFonts w:ascii="ArialMT" w:hAnsi="ArialMT" w:fareast="ArialMT" w:cs="ArialMT"/>
          <w:color w:val="a6a6a6"/>
          <w:w w:val="100"/>
          <w:sz w:val="32"/>
          <w:szCs w:val="32"/>
        </w:rPr>
        <w:t>Press Release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pt;margin-top:1pt;z-index:-167770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736.6pt;z-index:-167770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37.35pt;z-index:-16777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6.25pt;margin-top:736.6pt;z-index:-167770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736.6pt;z-index:-16777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4pt;margin-top:25.25pt;z-index:-16777008;width:225.2pt;height:41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</w:p>
    <w:p>
      <w:pPr>
        <w:pStyle w:val="Normal"/>
        <w:framePr w:w="1556" w:hAnchor="page" w:vAnchor="page" w:x="4281" w:y="1371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80808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808080"/>
          <w:w w:val="100"/>
          <w:sz w:val="14"/>
          <w:szCs w:val="14"/>
        </w:rPr>
        <w:t>TechnipFMC.com</w:t>
      </w:r>
    </w:p>
    <w:p>
      <w:pPr>
        <w:pStyle w:val="Normal"/>
        <w:framePr w:w="1055" w:hAnchor="page" w:vAnchor="page" w:x="11018" w:y="1371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80808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808080"/>
          <w:w w:val="100"/>
          <w:sz w:val="14"/>
          <w:szCs w:val="14"/>
        </w:rPr>
        <w:t>Page 2 of 2</w:t>
      </w:r>
    </w:p>
    <w:p>
      <w:pPr>
        <w:pStyle w:val="Normal"/>
        <w:framePr w:w="2367" w:hAnchor="page" w:vAnchor="page" w:x="355" w:y="1165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James Davis</w:t>
      </w:r>
    </w:p>
    <w:p>
      <w:pPr>
        <w:pStyle w:val="Normal"/>
        <w:framePr w:w="2510" w:hAnchor="page" w:vAnchor="page" w:x="355" w:y="114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197" w:hAnchor="page" w:vAnchor="page" w:x="5985" w:y="114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Catie Tuley</w:t>
      </w:r>
    </w:p>
    <w:p>
      <w:pPr>
        <w:pStyle w:val="Normal"/>
        <w:framePr w:w="4022" w:hAnchor="page" w:vAnchor="page" w:x="355" w:y="1113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Manager, Investor Relations</w:t>
      </w:r>
    </w:p>
    <w:p>
      <w:pPr>
        <w:pStyle w:val="Normal"/>
        <w:framePr w:w="2510" w:hAnchor="page" w:vAnchor="page" w:x="5985" w:y="1113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+1 281 591 5405</w:t>
      </w:r>
    </w:p>
    <w:p>
      <w:pPr>
        <w:pStyle w:val="Normal"/>
        <w:framePr w:w="1627" w:hAnchor="page" w:vAnchor="page" w:x="355" w:y="108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James Davis</w:t>
      </w:r>
    </w:p>
    <w:p>
      <w:pPr>
        <w:pStyle w:val="Normal"/>
        <w:framePr w:w="2946" w:hAnchor="page" w:vAnchor="page" w:x="5985" w:y="108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Director, Public Relations</w:t>
      </w:r>
    </w:p>
    <w:p>
      <w:pPr>
        <w:pStyle w:val="Normal"/>
        <w:framePr w:w="1457" w:hAnchor="page" w:vAnchor="page" w:x="5985" w:y="1060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Catie Tuley</w:t>
      </w:r>
    </w:p>
    <w:p>
      <w:pPr>
        <w:pStyle w:val="Normal"/>
        <w:framePr w:w="2865" w:hAnchor="page" w:vAnchor="page" w:x="355" w:y="101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Matt Seinsheimer</w:t>
      </w:r>
    </w:p>
    <w:p>
      <w:pPr>
        <w:pStyle w:val="Normal"/>
        <w:framePr w:w="2510" w:hAnchor="page" w:vAnchor="page" w:x="355" w:y="98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717" w:hAnchor="page" w:vAnchor="page" w:x="5985" w:y="98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Nicola Cameron</w:t>
      </w:r>
    </w:p>
    <w:p>
      <w:pPr>
        <w:pStyle w:val="Normal"/>
        <w:framePr w:w="1668" w:hAnchor="page" w:vAnchor="page" w:x="355" w:y="95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Development</w:t>
      </w:r>
    </w:p>
    <w:p>
      <w:pPr>
        <w:pStyle w:val="Normal"/>
        <w:framePr w:w="2644" w:hAnchor="page" w:vAnchor="page" w:x="5985" w:y="95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Tel: +44 1383 742297 </w:t>
      </w:r>
    </w:p>
    <w:p>
      <w:pPr>
        <w:pStyle w:val="Normal"/>
        <w:framePr w:w="6251" w:hAnchor="page" w:vAnchor="page" w:x="355" w:y="93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Vice President, Investor Relations and Corporate</w:t>
      </w:r>
    </w:p>
    <w:p>
      <w:pPr>
        <w:pStyle w:val="Normal"/>
        <w:framePr w:w="4879" w:hAnchor="page" w:vAnchor="page" w:x="5985" w:y="93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Vice President, Corporate Communications</w:t>
      </w:r>
    </w:p>
    <w:p>
      <w:pPr>
        <w:pStyle w:val="Normal"/>
        <w:framePr w:w="2125" w:hAnchor="page" w:vAnchor="page" w:x="355" w:y="90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Matt Seinsheimer</w:t>
      </w:r>
    </w:p>
    <w:p>
      <w:pPr>
        <w:pStyle w:val="Normal"/>
        <w:framePr w:w="1977" w:hAnchor="page" w:vAnchor="page" w:x="5985" w:y="90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Nicola Cameron</w:t>
      </w:r>
    </w:p>
    <w:p>
      <w:pPr>
        <w:pStyle w:val="Normal"/>
        <w:framePr w:w="2260" w:hAnchor="page" w:vAnchor="page" w:x="355" w:y="87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Investor relations</w:t>
      </w:r>
    </w:p>
    <w:p>
      <w:pPr>
        <w:pStyle w:val="Normal"/>
        <w:framePr w:w="2004" w:hAnchor="page" w:vAnchor="page" w:x="5985" w:y="87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Media relations</w:t>
      </w:r>
    </w:p>
    <w:p>
      <w:pPr>
        <w:pStyle w:val="Normal"/>
        <w:framePr w:w="1394" w:hAnchor="page" w:vAnchor="page" w:x="280" w:y="82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Contacts</w:t>
      </w:r>
    </w:p>
    <w:p>
      <w:pPr>
        <w:pStyle w:val="Normal"/>
        <w:framePr w:w="1979" w:hAnchor="page" w:vAnchor="page" w:x="280" w:y="75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@TechnipFMC.</w:t>
      </w:r>
    </w:p>
    <w:p>
      <w:pPr>
        <w:pStyle w:val="Normal"/>
        <w:framePr w:w="13086" w:hAnchor="page" w:vAnchor="page" w:x="280" w:y="73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about  how  we  are  driving  change  in  the  industry,  go  to  www.TechnipFMC.com  and  follow  us  on  Twitter</w:t>
      </w:r>
    </w:p>
    <w:p>
      <w:pPr>
        <w:pStyle w:val="Normal"/>
        <w:framePr w:w="13081" w:hAnchor="page" w:vAnchor="page" w:x="280" w:y="70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TechnipFMC utilizes its website as a channel of distribution of material company information. To learn more</w:t>
      </w:r>
    </w:p>
    <w:p>
      <w:pPr>
        <w:pStyle w:val="Normal"/>
        <w:framePr w:w="7885" w:hAnchor="page" w:vAnchor="page" w:x="280" w:y="65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execution, purposeful innovation, and challenging industry conventions.</w:t>
      </w:r>
    </w:p>
    <w:p>
      <w:pPr>
        <w:pStyle w:val="Normal"/>
        <w:framePr w:w="13087" w:hAnchor="page" w:vAnchor="page" w:x="280" w:y="63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Each of our approximately 20,000 employees is driven by a commitment to our clients’ success, and a culture of strong</w:t>
      </w:r>
    </w:p>
    <w:p>
      <w:pPr>
        <w:pStyle w:val="Normal"/>
        <w:framePr w:w="2112" w:hAnchor="page" w:vAnchor="page" w:x="280" w:y="58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digital innovation.</w:t>
      </w:r>
    </w:p>
    <w:p>
      <w:pPr>
        <w:pStyle w:val="Normal"/>
        <w:framePr w:w="13085" w:hAnchor="page" w:vAnchor="page" w:x="280" w:y="56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with our pioneering integrated ecosystems (such as iEPCI™, iFEED™ and iComplete™), technology leadership and</w:t>
      </w:r>
    </w:p>
    <w:p>
      <w:pPr>
        <w:pStyle w:val="Normal"/>
        <w:framePr w:w="13087" w:hAnchor="page" w:vAnchor="page" w:x="280" w:y="54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Organized in two business segments — Subsea and Surface Technologies — we will continue to advance the industry</w:t>
      </w:r>
    </w:p>
    <w:p>
      <w:pPr>
        <w:pStyle w:val="Normal"/>
        <w:framePr w:w="3202" w:hAnchor="page" w:vAnchor="page" w:x="280" w:y="49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energy transition ambitions.</w:t>
      </w:r>
    </w:p>
    <w:p>
      <w:pPr>
        <w:pStyle w:val="Normal"/>
        <w:framePr w:w="13081" w:hAnchor="page" w:vAnchor="page" w:x="280" w:y="47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helping them unlock new possibilities to develop energy resources while reducing carbon intensity and supporting their</w:t>
      </w:r>
    </w:p>
    <w:p>
      <w:pPr>
        <w:pStyle w:val="Normal"/>
        <w:framePr w:w="13090" w:hAnchor="page" w:vAnchor="page" w:x="280" w:y="45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With our proprietary technologies and comprehensive solutions, we are transforming our clients’ project economics,</w:t>
      </w:r>
    </w:p>
    <w:p>
      <w:pPr>
        <w:pStyle w:val="Normal"/>
        <w:framePr w:w="3713" w:hAnchor="page" w:vAnchor="page" w:x="280" w:y="40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projects, products, and services.</w:t>
      </w:r>
    </w:p>
    <w:p>
      <w:pPr>
        <w:pStyle w:val="Normal"/>
        <w:framePr w:w="13078" w:hAnchor="page" w:vAnchor="page" w:x="280" w:y="38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is a leading technology provider to the traditional and new energy industries, delivering fully integrated</w:t>
      </w:r>
    </w:p>
    <w:p>
      <w:pPr>
        <w:pStyle w:val="Normal"/>
        <w:framePr w:w="2442" w:hAnchor="page" w:vAnchor="page" w:x="280" w:y="33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About TechnipFMC</w:t>
      </w:r>
    </w:p>
    <w:p>
      <w:pPr>
        <w:pStyle w:val="Normal"/>
        <w:framePr w:w="646" w:hAnchor="page" w:vAnchor="page" w:x="5936" w:y="27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###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7pt;margin-top:1pt;z-index:-16777004;width:598pt;height:71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4pt;margin-top:25.25pt;z-index:-16777000;width:225.2pt;height:41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0.35pt;margin-top:516.7pt;z-index:-16776996;width:8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0.35pt;margin-top:592.5pt;z-index:-16776992;width:64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31.85pt;margin-top:503.15pt;z-index:-16776988;width:80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1.85pt;margin-top:579.75pt;z-index:-16776984;width:5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jpeg" Type="http://schemas.openxmlformats.org/officeDocument/2006/relationships/image"/><Relationship Id="rId53" Target="media/image53.png" Type="http://schemas.openxmlformats.org/officeDocument/2006/relationships/image"/><Relationship Id="rId54" Target="media/image54.jpe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styles.xml" Type="http://schemas.openxmlformats.org/officeDocument/2006/relationships/styles"/><Relationship Id="rId6" Target="media/image6.png" Type="http://schemas.openxmlformats.org/officeDocument/2006/relationships/image"/><Relationship Id="rId60" Target="fontTable.xml" Type="http://schemas.openxmlformats.org/officeDocument/2006/relationships/fontTable"/><Relationship Id="rId61" Target="settings.xml" Type="http://schemas.openxmlformats.org/officeDocument/2006/relationships/settings"/><Relationship Id="rId62" Target="webSettings.xml" Type="http://schemas.openxmlformats.org/officeDocument/2006/relationships/webSettings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1290</Words>
  <Characters>7177</Characters>
  <Application>e-iceblue</Application>
  <DocSecurity>0</DocSecurity>
  <Lines>145</Lines>
  <Paragraphs>145</Paragraphs>
  <ScaleCrop>false</ScaleCrop>
  <Company>e-iceblue</Company>
  <LinksUpToDate>false</LinksUpToDate>
  <CharactersWithSpaces>8466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2023-02-01T21:41:58Z</dcterms:created>
  <dc:creator>root</dc:creator>
  <cp:lastModifiedBy>root</cp:lastModifiedBy>
  <dcterms:modified xsi:type="dcterms:W3CDTF">2023-02-01T21:41:58Z</dcterms:modified>
  <cp:revision>1</cp:revision>
</cp:coreProperties>
</file>