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2677" w:hAnchor="page" w:vAnchor="page" w:x="280" w:y="101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(however, see the Notes).</w:t>
      </w:r>
    </w:p>
    <w:p>
      <w:pPr>
        <w:pStyle w:val="Normal"/>
        <w:framePr w:w="14249" w:hAnchor="page" w:vAnchor="page" w:x="280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Act of 1934 (“Act”) or otherwise subject to the liabilities of that section of the Act but shall be subject to all other provisions of the Act</w:t>
      </w:r>
    </w:p>
    <w:p>
      <w:pPr>
        <w:pStyle w:val="Normal"/>
        <w:framePr w:w="13768" w:hAnchor="page" w:vAnchor="page" w:x="280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information required in the remainder of this cover page shall not be deemed to be “filed” for the purpose of Section 18 of the Securities</w:t>
      </w:r>
    </w:p>
    <w:p>
      <w:pPr>
        <w:pStyle w:val="Normal"/>
        <w:framePr w:w="13229" w:hAnchor="page" w:vAnchor="page" w:x="280" w:y="91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securities, and for any subsequent amendment containing information which would alter the disclosures provided in a prior cover page.</w:t>
      </w:r>
    </w:p>
    <w:p>
      <w:pPr>
        <w:pStyle w:val="Normal"/>
        <w:framePr w:w="13429" w:hAnchor="page" w:vAnchor="page" w:x="280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 The remainder of this cover page shall be filled out for a reporting person’s initial filing on this form with respect to the subject class of</w:t>
      </w:r>
    </w:p>
    <w:p>
      <w:pPr>
        <w:pStyle w:val="Normal"/>
        <w:framePr w:w="2107" w:hAnchor="page" w:vAnchor="page" w:x="280" w:y="84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[ X ] Rule 13d-1(d)</w:t>
      </w:r>
    </w:p>
    <w:p>
      <w:pPr>
        <w:pStyle w:val="Normal"/>
        <w:framePr w:w="2040" w:hAnchor="page" w:vAnchor="page" w:x="280" w:y="8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[    ] Rule 13d-1(c)</w:t>
      </w:r>
    </w:p>
    <w:p>
      <w:pPr>
        <w:pStyle w:val="Normal"/>
        <w:framePr w:w="2054" w:hAnchor="page" w:vAnchor="page" w:x="280" w:y="7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[    ] Rule 13d-1(b)</w:t>
      </w:r>
    </w:p>
    <w:p>
      <w:pPr>
        <w:pStyle w:val="Normal"/>
        <w:framePr w:w="8695" w:hAnchor="page" w:vAnchor="page" w:x="280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to designate the rule pursuant to which this Schedule is filed:</w:t>
      </w:r>
    </w:p>
    <w:p>
      <w:pPr>
        <w:pStyle w:val="Normal"/>
        <w:framePr w:w="5668" w:hAnchor="page" w:vAnchor="page" w:x="3858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(Date of Event Which Requires Filing of this Statement)</w:t>
      </w:r>
    </w:p>
    <w:p>
      <w:pPr>
        <w:pStyle w:val="Normal"/>
        <w:framePr w:w="2180" w:hAnchor="page" w:vAnchor="page" w:x="5312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 2022</w:t>
      </w:r>
    </w:p>
    <w:p>
      <w:pPr>
        <w:pStyle w:val="Normal"/>
        <w:framePr w:w="1927" w:hAnchor="page" w:vAnchor="page" w:x="5417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(CUSIP Number)</w:t>
      </w:r>
    </w:p>
    <w:p>
      <w:pPr>
        <w:pStyle w:val="Normal"/>
        <w:framePr w:w="1374" w:hAnchor="page" w:vAnchor="page" w:x="5648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87854Y109</w:t>
      </w:r>
    </w:p>
    <w:p>
      <w:pPr>
        <w:pStyle w:val="Normal"/>
        <w:framePr w:w="2952" w:hAnchor="page" w:vAnchor="page" w:x="4990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(Title of Class of Securities)</w:t>
      </w:r>
    </w:p>
    <w:p>
      <w:pPr>
        <w:pStyle w:val="Normal"/>
        <w:framePr w:w="5154" w:hAnchor="page" w:vAnchor="page" w:x="4073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Ordinary Shares, €0.01 nominal value per share</w:t>
      </w:r>
    </w:p>
    <w:p>
      <w:pPr>
        <w:pStyle w:val="Normal"/>
        <w:framePr w:w="1867" w:hAnchor="page" w:vAnchor="page" w:x="5442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(Name of Issuer)</w:t>
      </w:r>
    </w:p>
    <w:p>
      <w:pPr>
        <w:pStyle w:val="Normal"/>
        <w:framePr w:w="3679" w:hAnchor="page" w:vAnchor="page" w:x="4608" w:y="4484"/>
        <w:widowControl w:val="off"/>
        <w:autoSpaceDE w:val="off"/>
        <w:autoSpaceDN w:val="off"/>
        <w:spacing w:before="0" w:after="0" w:line="3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2"/>
          <w:szCs w:val="3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2"/>
          <w:szCs w:val="32"/>
        </w:rPr>
        <w:t>Technip Energies N.V.</w:t>
      </w:r>
    </w:p>
    <w:p>
      <w:pPr>
        <w:pStyle w:val="Normal"/>
        <w:framePr w:w="2301" w:hAnchor="page" w:vAnchor="page" w:x="5261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(Amendment No. 1)*</w:t>
      </w:r>
    </w:p>
    <w:p>
      <w:pPr>
        <w:pStyle w:val="Normal"/>
        <w:framePr w:w="6124" w:hAnchor="page" w:vAnchor="page" w:x="3668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UNDER THE SECURITIES EXCHANGE ACT OF 1934</w:t>
      </w:r>
    </w:p>
    <w:p>
      <w:pPr>
        <w:pStyle w:val="Normal"/>
        <w:framePr w:w="2681" w:hAnchor="page" w:vAnchor="page" w:x="5103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Pursuant to § 240.13d-2</w:t>
      </w:r>
    </w:p>
    <w:p>
      <w:pPr>
        <w:pStyle w:val="Normal"/>
        <w:framePr w:w="6472" w:hAnchor="page" w:vAnchor="page" w:x="3524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 § 240.13d-1(b), (c) and (d) and Amendments Thereto Filed</w:t>
      </w:r>
    </w:p>
    <w:p>
      <w:pPr>
        <w:pStyle w:val="Normal"/>
        <w:framePr w:w="6063" w:hAnchor="page" w:vAnchor="page" w:x="3694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Information to be Included in Statements Filed Pursuant</w:t>
      </w:r>
    </w:p>
    <w:p>
      <w:pPr>
        <w:pStyle w:val="Normal"/>
        <w:framePr w:w="1754" w:hAnchor="page" w:vAnchor="page" w:x="5489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(Rule 13d-102)</w:t>
      </w:r>
    </w:p>
    <w:p>
      <w:pPr>
        <w:pStyle w:val="Normal"/>
        <w:framePr w:w="2114" w:hAnchor="page" w:vAnchor="page" w:x="5299" w:y="1517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Schedule 13G</w:t>
      </w:r>
    </w:p>
    <w:p>
      <w:pPr>
        <w:pStyle w:val="Normal"/>
        <w:framePr w:w="2715" w:hAnchor="page" w:vAnchor="page" w:x="5089" w:y="10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4484" w:hAnchor="page" w:vAnchor="page" w:x="4202" w:y="7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and Exchange Commission</w:t>
      </w:r>
    </w:p>
    <w:p>
      <w:pPr>
        <w:pStyle w:val="Normal"/>
        <w:framePr w:w="1768" w:hAnchor="page" w:vAnchor="page" w:x="5436" w:y="4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pt;z-index:-16777208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pt;z-index:-16777204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17.5pt;z-index:-16777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534.7pt;z-index:-16777196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534.7pt;z-index:-167771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542.95pt;z-index:-16777188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556.45pt;z-index:-167771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</w:p>
    <w:p>
      <w:pPr>
        <w:pStyle w:val="Normal"/>
        <w:framePr w:w="360" w:hAnchor="page" w:vAnchor="page" w:x="1631" w:y="123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00" w:hAnchor="page" w:vAnchor="page" w:x="2352" w:y="121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</w:t>
      </w:r>
    </w:p>
    <w:p>
      <w:pPr>
        <w:pStyle w:val="Normal"/>
        <w:framePr w:w="480" w:hAnchor="page" w:vAnchor="page" w:x="1001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</w:t>
      </w:r>
    </w:p>
    <w:p>
      <w:pPr>
        <w:pStyle w:val="Normal"/>
        <w:framePr w:w="2711" w:hAnchor="page" w:vAnchor="page" w:x="1631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Type of Reporting Person</w:t>
      </w:r>
    </w:p>
    <w:p>
      <w:pPr>
        <w:pStyle w:val="Normal"/>
        <w:framePr w:w="360" w:hAnchor="page" w:vAnchor="page" w:x="1631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00" w:hAnchor="page" w:vAnchor="page" w:x="2352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0%</w:t>
      </w:r>
    </w:p>
    <w:p>
      <w:pPr>
        <w:pStyle w:val="Normal"/>
        <w:framePr w:w="471" w:hAnchor="page" w:vAnchor="page" w:x="1001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</w:t>
      </w:r>
    </w:p>
    <w:p>
      <w:pPr>
        <w:pStyle w:val="Normal"/>
        <w:framePr w:w="5135" w:hAnchor="page" w:vAnchor="page" w:x="1631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 of Class Represented by Amount in Row 9</w:t>
      </w:r>
    </w:p>
    <w:p>
      <w:pPr>
        <w:pStyle w:val="Normal"/>
        <w:framePr w:w="360" w:hAnchor="page" w:vAnchor="page" w:x="1631" w:y="10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81" w:hAnchor="page" w:vAnchor="page" w:x="2352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480" w:hAnchor="page" w:vAnchor="page" w:x="1001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</w:t>
      </w:r>
    </w:p>
    <w:p>
      <w:pPr>
        <w:pStyle w:val="Normal"/>
        <w:framePr w:w="6828" w:hAnchor="page" w:vAnchor="page" w:x="1631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if the Aggregate Amount in Row (9) Excludes Certain Shares</w:t>
      </w:r>
    </w:p>
    <w:p>
      <w:pPr>
        <w:pStyle w:val="Normal"/>
        <w:framePr w:w="360" w:hAnchor="page" w:vAnchor="page" w:x="1631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2352" w:y="91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</w:t>
      </w:r>
    </w:p>
    <w:p>
      <w:pPr>
        <w:pStyle w:val="Normal"/>
        <w:framePr w:w="360" w:hAnchor="page" w:vAnchor="page" w:x="1001" w:y="87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</w:t>
      </w:r>
    </w:p>
    <w:p>
      <w:pPr>
        <w:pStyle w:val="Normal"/>
        <w:framePr w:w="6648" w:hAnchor="page" w:vAnchor="page" w:x="1631" w:y="87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Aggregate Amount Beneficially Owned by Each Reporting Person</w:t>
      </w:r>
    </w:p>
    <w:p>
      <w:pPr>
        <w:pStyle w:val="Normal"/>
        <w:framePr w:w="360" w:hAnchor="page" w:vAnchor="page" w:x="4439" w:y="84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5159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</w:t>
      </w:r>
    </w:p>
    <w:p>
      <w:pPr>
        <w:pStyle w:val="Normal"/>
        <w:framePr w:w="360" w:hAnchor="page" w:vAnchor="page" w:x="3027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</w:t>
      </w:r>
    </w:p>
    <w:p>
      <w:pPr>
        <w:pStyle w:val="Normal"/>
        <w:framePr w:w="2734" w:hAnchor="page" w:vAnchor="page" w:x="4439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Dispositive Power</w:t>
      </w:r>
    </w:p>
    <w:p>
      <w:pPr>
        <w:pStyle w:val="Normal"/>
        <w:framePr w:w="360" w:hAnchor="page" w:vAnchor="page" w:x="4439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5159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</w:t>
      </w:r>
    </w:p>
    <w:p>
      <w:pPr>
        <w:pStyle w:val="Normal"/>
        <w:framePr w:w="711" w:hAnchor="page" w:vAnchor="page" w:x="280" w:y="6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</w:t>
      </w:r>
    </w:p>
    <w:p>
      <w:pPr>
        <w:pStyle w:val="Normal"/>
        <w:framePr w:w="360" w:hAnchor="page" w:vAnchor="page" w:x="3027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</w:t>
      </w:r>
    </w:p>
    <w:p>
      <w:pPr>
        <w:pStyle w:val="Normal"/>
        <w:framePr w:w="2494" w:hAnchor="page" w:vAnchor="page" w:x="4439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Dispositive Power</w:t>
      </w:r>
    </w:p>
    <w:p>
      <w:pPr>
        <w:pStyle w:val="Normal"/>
        <w:framePr w:w="3507" w:hAnchor="page" w:vAnchor="page" w:x="280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Owned by Each Reporting Person</w:t>
      </w:r>
    </w:p>
    <w:p>
      <w:pPr>
        <w:pStyle w:val="Normal"/>
        <w:framePr w:w="360" w:hAnchor="page" w:vAnchor="page" w:x="4439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220" w:hAnchor="page" w:vAnchor="page" w:x="280" w:y="63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 Shares Beneficially</w:t>
      </w:r>
    </w:p>
    <w:p>
      <w:pPr>
        <w:pStyle w:val="Normal"/>
        <w:framePr w:w="360" w:hAnchor="page" w:vAnchor="page" w:x="5159" w:y="62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</w:t>
      </w:r>
    </w:p>
    <w:p>
      <w:pPr>
        <w:pStyle w:val="Normal"/>
        <w:framePr w:w="360" w:hAnchor="page" w:vAnchor="page" w:x="3027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</w:t>
      </w:r>
    </w:p>
    <w:p>
      <w:pPr>
        <w:pStyle w:val="Normal"/>
        <w:framePr w:w="2276" w:hAnchor="page" w:vAnchor="page" w:x="4439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Voting Power</w:t>
      </w:r>
    </w:p>
    <w:p>
      <w:pPr>
        <w:pStyle w:val="Normal"/>
        <w:framePr w:w="360" w:hAnchor="page" w:vAnchor="page" w:x="4439" w:y="5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5159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</w:t>
      </w:r>
    </w:p>
    <w:p>
      <w:pPr>
        <w:pStyle w:val="Normal"/>
        <w:framePr w:w="360" w:hAnchor="page" w:vAnchor="page" w:x="3027" w:y="4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</w:t>
      </w:r>
    </w:p>
    <w:p>
      <w:pPr>
        <w:pStyle w:val="Normal"/>
        <w:framePr w:w="2036" w:hAnchor="page" w:vAnchor="page" w:x="4439" w:y="4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Voting Power</w:t>
      </w:r>
    </w:p>
    <w:p>
      <w:pPr>
        <w:pStyle w:val="Normal"/>
        <w:framePr w:w="360" w:hAnchor="page" w:vAnchor="page" w:x="1631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954" w:hAnchor="page" w:vAnchor="page" w:x="1631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360" w:hAnchor="page" w:vAnchor="page" w:x="1001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</w:t>
      </w:r>
    </w:p>
    <w:p>
      <w:pPr>
        <w:pStyle w:val="Normal"/>
        <w:framePr w:w="3743" w:hAnchor="page" w:vAnchor="page" w:x="1631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Citizenship or Place of Organization</w:t>
      </w:r>
    </w:p>
    <w:p>
      <w:pPr>
        <w:pStyle w:val="Normal"/>
        <w:framePr w:w="360" w:hAnchor="page" w:vAnchor="page" w:x="1001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</w:t>
      </w:r>
    </w:p>
    <w:p>
      <w:pPr>
        <w:pStyle w:val="Normal"/>
        <w:framePr w:w="1654" w:hAnchor="page" w:vAnchor="page" w:x="1631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 Use Only</w:t>
      </w:r>
    </w:p>
    <w:p>
      <w:pPr>
        <w:pStyle w:val="Normal"/>
        <w:framePr w:w="360" w:hAnchor="page" w:vAnchor="page" w:x="1631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602" w:hAnchor="page" w:vAnchor="page" w:x="2352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                                                              (b) [  ]</w:t>
      </w:r>
    </w:p>
    <w:p>
      <w:pPr>
        <w:pStyle w:val="Normal"/>
        <w:framePr w:w="360" w:hAnchor="page" w:vAnchor="page" w:x="1001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</w:t>
      </w:r>
    </w:p>
    <w:p>
      <w:pPr>
        <w:pStyle w:val="Normal"/>
        <w:framePr w:w="6441" w:hAnchor="page" w:vAnchor="page" w:x="1631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if a Member of a Group          (a) [  ]</w:t>
      </w:r>
    </w:p>
    <w:p>
      <w:pPr>
        <w:pStyle w:val="Normal"/>
        <w:framePr w:w="360" w:hAnchor="page" w:vAnchor="page" w:x="1631" w:y="1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972" w:hAnchor="page" w:vAnchor="page" w:x="1631" w:y="17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360" w:hAnchor="page" w:vAnchor="page" w:x="1001" w:y="12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</w:t>
      </w:r>
    </w:p>
    <w:p>
      <w:pPr>
        <w:pStyle w:val="Normal"/>
        <w:framePr w:w="2994" w:hAnchor="page" w:vAnchor="page" w:x="1631" w:y="12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Names of Reporting Persons</w:t>
      </w:r>
    </w:p>
    <w:p>
      <w:pPr>
        <w:pStyle w:val="Normal"/>
        <w:framePr w:w="2528" w:hAnchor="page" w:vAnchor="page" w:x="1278" w:y="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87854Y109</w:t>
      </w:r>
    </w:p>
    <w:p>
      <w:pPr>
        <w:pStyle w:val="Normal"/>
        <w:framePr w:w="1594" w:hAnchor="page" w:vAnchor="page" w:x="5556" w:y="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Schedule 13G</w:t>
      </w:r>
    </w:p>
    <w:p>
      <w:pPr>
        <w:pStyle w:val="Normal"/>
        <w:framePr w:w="1327" w:hAnchor="page" w:vAnchor="page" w:x="9556" w:y="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1 of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7pt;margin-top:1pt;z-index:-167771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13pt;z-index:-16777176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25.75pt;z-index:-16777172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3pt;z-index:-16777168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207.4pt;margin-top:13pt;z-index:-16777164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07.4pt;margin-top:25.75pt;z-index:-16777160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207.4pt;margin-top:13pt;z-index:-16777156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402.2pt;margin-top:13.4pt;z-index:-16777152;width:196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80.55pt;margin-top:630.8pt;z-index:-16777148;width:51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630.8pt;z-index:-16777144;width:69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80.55pt;margin-top:581.25pt;z-index:-16777140;width:51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581.25pt;z-index:-16777136;width:69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80.55pt;margin-top:531.7pt;z-index:-16777132;width:51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531.7pt;z-index:-16777128;width:69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80.55pt;margin-top:432.6pt;z-index:-16777124;width:51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80.55pt;margin-top:482.15pt;z-index:-16777120;width:51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482.15pt;z-index:-16777116;width:69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71.45pt;margin-top:432.6pt;z-index:-16777112;width:27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220.95pt;margin-top:432.6pt;z-index:-16777108;width:352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50.35pt;margin-top:432.6pt;z-index:-16777104;width:72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20.95pt;margin-top:383.05pt;z-index:-16777100;width:352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50.35pt;margin-top:383.05pt;z-index:-16777096;width:72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220.95pt;margin-top:333.55pt;z-index:-16777092;width:352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50.35pt;margin-top:333.55pt;z-index:-16777088;width:72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71.45pt;margin-top:234.45pt;z-index:-16777084;width:27.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220.95pt;margin-top:234.45pt;z-index:-16777080;width:352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20.95pt;margin-top:284pt;z-index:-16777076;width:352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50.35pt;margin-top:234.45pt;z-index:-16777072;width:72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50.35pt;margin-top:284pt;z-index:-16777068;width:72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34.45pt;z-index:-16777064;width:139.3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432.6pt;z-index:-16777060;width:139.3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80.55pt;margin-top:234.45pt;z-index:-16777056;width:51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234.45pt;z-index:-16777052;width:69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80.55pt;margin-top:184.9pt;z-index:-16777048;width:51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184.9pt;z-index:-16777044;width:69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80.55pt;margin-top:147.35pt;z-index:-16777040;width:51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3pt;margin-top:147.35pt;z-index:-16777036;width:69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80.55pt;margin-top:60.3pt;z-index:-16777032;width:51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80.55pt;margin-top:109.85pt;z-index:-16777028;width:51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pt;margin-top:60.3pt;z-index:-16777024;width:69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109.85pt;z-index:-16777020;width:69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3pt;margin-top:654.8pt;z-index:-1677701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</w:p>
    <w:p>
      <w:pPr>
        <w:pStyle w:val="Normal"/>
        <w:framePr w:w="6116" w:hAnchor="page" w:vAnchor="page" w:x="280" w:y="11549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five percent of the class of securities, check the following: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14188" w:hAnchor="page" w:vAnchor="page" w:x="280" w:y="113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this statement is being filed to report the fact that as of the date hereof the Reporting Person has ceased to be the beneficial owner of more than</w:t>
      </w:r>
    </w:p>
    <w:p>
      <w:pPr>
        <w:pStyle w:val="Normal"/>
        <w:framePr w:w="1120" w:hAnchor="page" w:vAnchor="page" w:x="280" w:y="108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5.</w:t>
      </w:r>
    </w:p>
    <w:p>
      <w:pPr>
        <w:pStyle w:val="Normal"/>
        <w:framePr w:w="4884" w:hAnchor="page" w:vAnchor="page" w:x="1286" w:y="108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 of Five Percent or Less of a Class.</w:t>
      </w:r>
    </w:p>
    <w:p>
      <w:pPr>
        <w:pStyle w:val="Normal"/>
        <w:framePr w:w="3101" w:hAnchor="page" w:vAnchor="page" w:x="280" w:y="10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Ordinary Shares of the Issuer.</w:t>
      </w:r>
    </w:p>
    <w:p>
      <w:pPr>
        <w:pStyle w:val="Normal"/>
        <w:framePr w:w="13129" w:hAnchor="page" w:vAnchor="page" w:x="1001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statement on Schedule 13G is being filed to report that, as of the date hereof, the Reporting Person does not beneficially own any</w:t>
      </w:r>
    </w:p>
    <w:p>
      <w:pPr>
        <w:pStyle w:val="Normal"/>
        <w:framePr w:w="1120" w:hAnchor="page" w:vAnchor="page" w:x="280" w:y="96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4.</w:t>
      </w:r>
    </w:p>
    <w:p>
      <w:pPr>
        <w:pStyle w:val="Normal"/>
        <w:framePr w:w="1434" w:hAnchor="page" w:vAnchor="page" w:x="1286" w:y="96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Ownership.</w:t>
      </w:r>
    </w:p>
    <w:p>
      <w:pPr>
        <w:pStyle w:val="Normal"/>
        <w:framePr w:w="1707" w:hAnchor="page" w:vAnchor="page" w:x="1001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1120" w:hAnchor="page" w:vAnchor="page" w:x="280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3.</w:t>
      </w:r>
    </w:p>
    <w:p>
      <w:pPr>
        <w:pStyle w:val="Normal"/>
        <w:framePr w:w="1374" w:hAnchor="page" w:vAnchor="page" w:x="2442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87854Y109</w:t>
      </w:r>
    </w:p>
    <w:p>
      <w:pPr>
        <w:pStyle w:val="Normal"/>
        <w:framePr w:w="506" w:hAnchor="page" w:vAnchor="page" w:x="1286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(e)</w:t>
      </w:r>
    </w:p>
    <w:p>
      <w:pPr>
        <w:pStyle w:val="Normal"/>
        <w:framePr w:w="1954" w:hAnchor="page" w:vAnchor="page" w:x="2007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CUSIP Number:</w:t>
      </w:r>
    </w:p>
    <w:p>
      <w:pPr>
        <w:pStyle w:val="Normal"/>
        <w:framePr w:w="6847" w:hAnchor="page" w:vAnchor="page" w:x="2442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Ordinary shares, €0.01 nominal value per share (“Ordinary Shares”).</w:t>
      </w:r>
    </w:p>
    <w:p>
      <w:pPr>
        <w:pStyle w:val="Normal"/>
        <w:framePr w:w="533" w:hAnchor="page" w:vAnchor="page" w:x="1286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(d)</w:t>
      </w:r>
    </w:p>
    <w:p>
      <w:pPr>
        <w:pStyle w:val="Normal"/>
        <w:framePr w:w="2983" w:hAnchor="page" w:vAnchor="page" w:x="2007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Title of Class of Securities:</w:t>
      </w:r>
    </w:p>
    <w:p>
      <w:pPr>
        <w:pStyle w:val="Normal"/>
        <w:framePr w:w="7324" w:hAnchor="page" w:vAnchor="page" w:x="2442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Reporting Person is organized under the laws of the United Kingdom</w:t>
      </w:r>
    </w:p>
    <w:p>
      <w:pPr>
        <w:pStyle w:val="Normal"/>
        <w:framePr w:w="506" w:hAnchor="page" w:vAnchor="page" w:x="1286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(c)</w:t>
      </w:r>
    </w:p>
    <w:p>
      <w:pPr>
        <w:pStyle w:val="Normal"/>
        <w:framePr w:w="1481" w:hAnchor="page" w:vAnchor="page" w:x="2007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Citizenship:</w:t>
      </w:r>
    </w:p>
    <w:p>
      <w:pPr>
        <w:pStyle w:val="Normal"/>
        <w:framePr w:w="2168" w:hAnchor="page" w:vAnchor="page" w:x="2442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Kingdom NE6 3PL.</w:t>
      </w:r>
    </w:p>
    <w:p>
      <w:pPr>
        <w:pStyle w:val="Normal"/>
        <w:framePr w:w="11269" w:hAnchor="page" w:vAnchor="page" w:x="2442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business address of the Reporting Person is Hadrian House, Wincomblee Road, Newcastle Upon Tyne, United</w:t>
      </w:r>
    </w:p>
    <w:p>
      <w:pPr>
        <w:pStyle w:val="Normal"/>
        <w:framePr w:w="533" w:hAnchor="page" w:vAnchor="page" w:x="1286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(b)</w:t>
      </w:r>
    </w:p>
    <w:p>
      <w:pPr>
        <w:pStyle w:val="Normal"/>
        <w:framePr w:w="4077" w:hAnchor="page" w:vAnchor="page" w:x="2007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Address or Principal Business Office:</w:t>
      </w:r>
    </w:p>
    <w:p>
      <w:pPr>
        <w:pStyle w:val="Normal"/>
        <w:framePr w:w="7798" w:hAnchor="page" w:vAnchor="page" w:x="2442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statement is filed on behalf of TechnipFMC plc (the “Reporting Person”).</w:t>
      </w:r>
    </w:p>
    <w:p>
      <w:pPr>
        <w:pStyle w:val="Normal"/>
        <w:framePr w:w="1120" w:hAnchor="page" w:vAnchor="page" w:x="28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2.</w:t>
      </w:r>
    </w:p>
    <w:p>
      <w:pPr>
        <w:pStyle w:val="Normal"/>
        <w:framePr w:w="3490" w:hAnchor="page" w:vAnchor="page" w:x="1286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(a)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Name of Person Filing:</w:t>
      </w:r>
    </w:p>
    <w:p>
      <w:pPr>
        <w:pStyle w:val="Normal"/>
        <w:framePr w:w="3187" w:hAnchor="page" w:vAnchor="page" w:x="2442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92741 Nanterre Cedex, France</w:t>
      </w:r>
    </w:p>
    <w:p>
      <w:pPr>
        <w:pStyle w:val="Normal"/>
        <w:framePr w:w="1254" w:hAnchor="page" w:vAnchor="page" w:x="2442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CS 10266,</w:t>
      </w:r>
    </w:p>
    <w:p>
      <w:pPr>
        <w:pStyle w:val="Normal"/>
        <w:framePr w:w="3167" w:hAnchor="page" w:vAnchor="page" w:x="2442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2126, boulevard de la Défense</w:t>
      </w:r>
    </w:p>
    <w:p>
      <w:pPr>
        <w:pStyle w:val="Normal"/>
        <w:framePr w:w="533" w:hAnchor="page" w:vAnchor="page" w:x="1286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(b)</w:t>
      </w:r>
    </w:p>
    <w:p>
      <w:pPr>
        <w:pStyle w:val="Normal"/>
        <w:framePr w:w="5119" w:hAnchor="page" w:vAnchor="page" w:x="2007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Address of Issuer’s Principal Executive Offices:</w:t>
      </w:r>
    </w:p>
    <w:p>
      <w:pPr>
        <w:pStyle w:val="Normal"/>
        <w:framePr w:w="3821" w:hAnchor="page" w:vAnchor="page" w:x="2442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Technip Energies N.V. (the “Issuer”).</w:t>
      </w:r>
    </w:p>
    <w:p>
      <w:pPr>
        <w:pStyle w:val="Normal"/>
        <w:framePr w:w="1120" w:hAnchor="page" w:vAnchor="page" w:x="280" w:y="12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1.</w:t>
      </w:r>
    </w:p>
    <w:p>
      <w:pPr>
        <w:pStyle w:val="Normal"/>
        <w:framePr w:w="2750" w:hAnchor="page" w:vAnchor="page" w:x="1286" w:y="12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(a)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Name of Issuer:</w:t>
      </w:r>
    </w:p>
    <w:p>
      <w:pPr>
        <w:pStyle w:val="Normal"/>
        <w:framePr w:w="2528" w:hAnchor="page" w:vAnchor="page" w:x="1278" w:y="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87854Y109</w:t>
      </w:r>
    </w:p>
    <w:p>
      <w:pPr>
        <w:pStyle w:val="Normal"/>
        <w:framePr w:w="1594" w:hAnchor="page" w:vAnchor="page" w:x="5556" w:y="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Schedule 13G</w:t>
      </w:r>
    </w:p>
    <w:p>
      <w:pPr>
        <w:pStyle w:val="Normal"/>
        <w:framePr w:w="1327" w:hAnchor="page" w:vAnchor="page" w:x="9556" w:y="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2 of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7pt;margin-top:1pt;z-index:-167770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pt;margin-top:13pt;z-index:-16777008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3pt;margin-top:25.75pt;z-index:-16777004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3pt;margin-top:13pt;z-index:-16777000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07.4pt;margin-top:13pt;z-index:-16776996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07.4pt;margin-top:25.75pt;z-index:-16776992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07.4pt;margin-top:13pt;z-index:-16776988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02.2pt;margin-top:13.4pt;z-index:-16776984;width:196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3pt;margin-top:611.25pt;z-index:-1677698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</w:p>
    <w:p>
      <w:pPr>
        <w:pStyle w:val="Normal"/>
        <w:framePr w:w="1707" w:hAnchor="page" w:vAnchor="page" w:x="1001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2814" w:hAnchor="page" w:vAnchor="page" w:x="280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10.   Certification.</w:t>
      </w:r>
    </w:p>
    <w:p>
      <w:pPr>
        <w:pStyle w:val="Normal"/>
        <w:framePr w:w="1707" w:hAnchor="page" w:vAnchor="page" w:x="1001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1120" w:hAnchor="page" w:vAnchor="page" w:x="28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9.</w:t>
      </w:r>
    </w:p>
    <w:p>
      <w:pPr>
        <w:pStyle w:val="Normal"/>
        <w:framePr w:w="3417" w:hAnchor="page" w:vAnchor="page" w:x="1286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Notice of Dissolution of Group.</w:t>
      </w:r>
    </w:p>
    <w:p>
      <w:pPr>
        <w:pStyle w:val="Normal"/>
        <w:framePr w:w="1707" w:hAnchor="page" w:vAnchor="page" w:x="1001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1120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8.</w:t>
      </w:r>
    </w:p>
    <w:p>
      <w:pPr>
        <w:pStyle w:val="Normal"/>
        <w:framePr w:w="6251" w:hAnchor="page" w:vAnchor="page" w:x="1286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Identification and Classification of Members of the Group.</w:t>
      </w:r>
    </w:p>
    <w:p>
      <w:pPr>
        <w:pStyle w:val="Normal"/>
        <w:framePr w:w="1707" w:hAnchor="page" w:vAnchor="page" w:x="1001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1287" w:hAnchor="page" w:vAnchor="page" w:x="1286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Company.</w:t>
      </w:r>
    </w:p>
    <w:p>
      <w:pPr>
        <w:pStyle w:val="Normal"/>
        <w:framePr w:w="1120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7.</w:t>
      </w:r>
    </w:p>
    <w:p>
      <w:pPr>
        <w:pStyle w:val="Normal"/>
        <w:framePr w:w="12718" w:hAnchor="page" w:vAnchor="page" w:x="1286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Identification and Classification of the Subsidiary Which Acquired the Security Being Reported on By the Parent Holding</w:t>
      </w:r>
    </w:p>
    <w:p>
      <w:pPr>
        <w:pStyle w:val="Normal"/>
        <w:framePr w:w="1707" w:hAnchor="page" w:vAnchor="page" w:x="1001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1120" w:hAnchor="page" w:vAnchor="page" w:x="280" w:y="12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6.</w:t>
      </w:r>
    </w:p>
    <w:p>
      <w:pPr>
        <w:pStyle w:val="Normal"/>
        <w:framePr w:w="7160" w:hAnchor="page" w:vAnchor="page" w:x="1286" w:y="12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 of More than Five Percent on Behalf of Another Person.</w:t>
      </w:r>
    </w:p>
    <w:p>
      <w:pPr>
        <w:pStyle w:val="Normal"/>
        <w:framePr w:w="2528" w:hAnchor="page" w:vAnchor="page" w:x="1278" w:y="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87854Y109</w:t>
      </w:r>
    </w:p>
    <w:p>
      <w:pPr>
        <w:pStyle w:val="Normal"/>
        <w:framePr w:w="1594" w:hAnchor="page" w:vAnchor="page" w:x="5556" w:y="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Schedule 13G</w:t>
      </w:r>
    </w:p>
    <w:p>
      <w:pPr>
        <w:pStyle w:val="Normal"/>
        <w:framePr w:w="1327" w:hAnchor="page" w:vAnchor="page" w:x="9556" w:y="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3 of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7pt;margin-top:1pt;z-index:-167769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13pt;margin-top:13pt;z-index:-16776972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3pt;margin-top:25.75pt;z-index:-16776968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3pt;margin-top:13pt;z-index:-16776964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207.4pt;margin-top:13pt;z-index:-16776960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07.4pt;margin-top:25.75pt;z-index:-16776956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207.4pt;margin-top:13pt;z-index:-16776952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02.2pt;margin-top:13.4pt;z-index:-16776948;width:196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3pt;margin-top:323pt;z-index:-1677694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</w:p>
    <w:p>
      <w:pPr>
        <w:pStyle w:val="Normal"/>
        <w:framePr w:w="752" w:hAnchor="page" w:vAnchor="page" w:x="6135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4049" w:hAnchor="page" w:vAnchor="page" w:x="6826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EVP, Chief Legal Officer and Secretary</w:t>
      </w:r>
    </w:p>
    <w:p>
      <w:pPr>
        <w:pStyle w:val="Normal"/>
        <w:framePr w:w="880" w:hAnchor="page" w:vAnchor="page" w:x="6135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</w:t>
      </w:r>
    </w:p>
    <w:p>
      <w:pPr>
        <w:pStyle w:val="Normal"/>
        <w:framePr w:w="1619" w:hAnchor="page" w:vAnchor="page" w:x="6826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Victoria Lazar</w:t>
      </w:r>
    </w:p>
    <w:p>
      <w:pPr>
        <w:pStyle w:val="Normal"/>
        <w:framePr w:w="587" w:hAnchor="page" w:vAnchor="page" w:x="6135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1966" w:hAnchor="page" w:vAnchor="page" w:x="6826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/s/ Victoria Lazar </w:t>
      </w:r>
    </w:p>
    <w:p>
      <w:pPr>
        <w:pStyle w:val="Normal"/>
        <w:framePr w:w="1972" w:hAnchor="page" w:vAnchor="page" w:x="6135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3154" w:hAnchor="page" w:vAnchor="page" w:x="28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Date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:          February 14, 2023</w:t>
      </w:r>
    </w:p>
    <w:p>
      <w:pPr>
        <w:pStyle w:val="Normal"/>
        <w:framePr w:w="2313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complete and correct.</w:t>
      </w:r>
    </w:p>
    <w:p>
      <w:pPr>
        <w:pStyle w:val="Normal"/>
        <w:framePr w:w="12849" w:hAnchor="page" w:vAnchor="page" w:x="1001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After reasonable inquiry and to the best of my knowledge and belief, I certify that the information set forth in this statement is true,</w:t>
      </w:r>
    </w:p>
    <w:p>
      <w:pPr>
        <w:pStyle w:val="Normal"/>
        <w:framePr w:w="1650" w:hAnchor="page" w:vAnchor="page" w:x="5533" w:y="12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</w:t>
      </w:r>
    </w:p>
    <w:p>
      <w:pPr>
        <w:pStyle w:val="Normal"/>
        <w:framePr w:w="2528" w:hAnchor="page" w:vAnchor="page" w:x="1278" w:y="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87854Y109</w:t>
      </w:r>
    </w:p>
    <w:p>
      <w:pPr>
        <w:pStyle w:val="Normal"/>
        <w:framePr w:w="1594" w:hAnchor="page" w:vAnchor="page" w:x="5556" w:y="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Schedule 13G</w:t>
      </w:r>
    </w:p>
    <w:p>
      <w:pPr>
        <w:pStyle w:val="Normal"/>
        <w:framePr w:w="1327" w:hAnchor="page" w:vAnchor="page" w:x="9556" w:y="2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4 of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7pt;margin-top:1pt;z-index:-16776940;width:598pt;height:259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pt;margin-top:13pt;z-index:-16776936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pt;margin-top:25.75pt;z-index:-16776932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pt;margin-top:13pt;z-index:-16776928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07.4pt;margin-top:13pt;z-index:-16776924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207.4pt;margin-top:25.75pt;z-index:-16776920;width:196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07.4pt;margin-top:13pt;z-index:-16776916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402.2pt;margin-top:13.4pt;z-index:-16776912;width:196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pt;margin-top:233.7pt;z-index:-167769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40.3pt;margin-top:178.15pt;z-index:-16776904;width:73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styles.xml" Type="http://schemas.openxmlformats.org/officeDocument/2006/relationships/styles"/><Relationship Id="rId8" Target="media/image8.png" Type="http://schemas.openxmlformats.org/officeDocument/2006/relationships/image"/><Relationship Id="rId80" Target="fontTable.xml" Type="http://schemas.openxmlformats.org/officeDocument/2006/relationships/fontTable"/><Relationship Id="rId81" Target="settings.xml" Type="http://schemas.openxmlformats.org/officeDocument/2006/relationships/settings"/><Relationship Id="rId82" Target="webSettings.xml" Type="http://schemas.openxmlformats.org/officeDocument/2006/relationships/webSettings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658</Words>
  <Characters>3251</Characters>
  <Application>e-iceblue</Application>
  <DocSecurity>0</DocSecurity>
  <Lines>148</Lines>
  <Paragraphs>148</Paragraphs>
  <ScaleCrop>false</ScaleCrop>
  <Company>e-iceblue</Company>
  <LinksUpToDate>false</LinksUpToDate>
  <CharactersWithSpaces>3919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2023-02-14T13:14:05Z</dcterms:created>
  <dc:creator>root</dc:creator>
  <cp:lastModifiedBy>root</cp:lastModifiedBy>
  <dcterms:modified xsi:type="dcterms:W3CDTF">2023-02-14T13:14:05Z</dcterms:modified>
  <cp:revision>1</cp:revision>
</cp:coreProperties>
</file>